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E6" w:rsidRPr="006441E3" w:rsidRDefault="00B626E6" w:rsidP="006441E3">
      <w:pPr>
        <w:pStyle w:val="Heading2"/>
        <w:jc w:val="center"/>
        <w:rPr>
          <w:u w:val="single"/>
        </w:rPr>
      </w:pPr>
      <w:r w:rsidRPr="006441E3">
        <w:rPr>
          <w:u w:val="single"/>
        </w:rPr>
        <w:t>CURRICULUM ASSESSMENT ARRANGEMENTS</w:t>
      </w:r>
    </w:p>
    <w:p w:rsidR="00B626E6" w:rsidRDefault="00B626E6" w:rsidP="00B626E6">
      <w:pPr>
        <w:pStyle w:val="Heading8"/>
        <w:rPr>
          <w:color w:val="auto"/>
          <w:highlight w:val="yellow"/>
        </w:rPr>
      </w:pPr>
    </w:p>
    <w:p w:rsidR="00B626E6" w:rsidRPr="006441E3" w:rsidRDefault="00B626E6" w:rsidP="00B626E6">
      <w:pPr>
        <w:pStyle w:val="Heading8"/>
        <w:rPr>
          <w:u w:val="single"/>
        </w:rPr>
      </w:pPr>
      <w:r w:rsidRPr="006441E3">
        <w:rPr>
          <w:color w:val="auto"/>
          <w:u w:val="single"/>
        </w:rPr>
        <w:t>2019 SATS RESULTS</w:t>
      </w:r>
    </w:p>
    <w:p w:rsidR="00B626E6" w:rsidRDefault="00B626E6" w:rsidP="00B626E6">
      <w:pPr>
        <w:rPr>
          <w:rFonts w:ascii="Comic Sans MS" w:hAnsi="Comic Sans MS"/>
          <w:b/>
        </w:rPr>
      </w:pPr>
    </w:p>
    <w:p w:rsidR="00B626E6" w:rsidRPr="006441E3" w:rsidRDefault="006441E3" w:rsidP="00B626E6">
      <w:pPr>
        <w:pStyle w:val="Heading2"/>
        <w:rPr>
          <w:bCs w:val="0"/>
          <w:u w:val="single"/>
        </w:rPr>
      </w:pPr>
      <w:r>
        <w:rPr>
          <w:bCs w:val="0"/>
          <w:u w:val="single"/>
        </w:rPr>
        <w:t>Assessment and T</w:t>
      </w:r>
      <w:r w:rsidR="00B626E6" w:rsidRPr="006441E3">
        <w:rPr>
          <w:bCs w:val="0"/>
          <w:u w:val="single"/>
        </w:rPr>
        <w:t>esting</w:t>
      </w:r>
    </w:p>
    <w:p w:rsidR="00B626E6" w:rsidRDefault="00B626E6" w:rsidP="00B626E6">
      <w:pPr>
        <w:rPr>
          <w:rFonts w:ascii="Comic Sans MS" w:hAnsi="Comic Sans MS"/>
        </w:rPr>
      </w:pPr>
      <w:r>
        <w:rPr>
          <w:rFonts w:ascii="Comic Sans MS" w:hAnsi="Comic Sans MS"/>
        </w:rPr>
        <w:t>Children are assessed by their class teacher throughout the year. Tests in Literacy and Numeracy are administered annually to all Key Stage 2 children and results are reported to parents. Written reports are sent home</w:t>
      </w:r>
      <w:r>
        <w:rPr>
          <w:rFonts w:ascii="Comic Sans MS" w:hAnsi="Comic Sans MS"/>
          <w:color w:val="FF0000"/>
        </w:rPr>
        <w:t>,</w:t>
      </w:r>
      <w:r>
        <w:rPr>
          <w:rFonts w:ascii="Comic Sans MS" w:hAnsi="Comic Sans MS"/>
        </w:rPr>
        <w:t xml:space="preserve"> and there </w:t>
      </w:r>
      <w:r w:rsidRPr="001B6903">
        <w:rPr>
          <w:rFonts w:ascii="Comic Sans MS" w:hAnsi="Comic Sans MS"/>
        </w:rPr>
        <w:t>are two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000000"/>
        </w:rPr>
        <w:t>open evening</w:t>
      </w:r>
      <w:r>
        <w:rPr>
          <w:rFonts w:ascii="Comic Sans MS" w:hAnsi="Comic Sans MS"/>
        </w:rPr>
        <w:t xml:space="preserve"> every year. Parents can request to see documentation about their child’s progress at any time.</w:t>
      </w:r>
    </w:p>
    <w:p w:rsidR="00B626E6" w:rsidRDefault="00B626E6" w:rsidP="00B626E6">
      <w:pPr>
        <w:rPr>
          <w:rFonts w:ascii="Comic Sans MS" w:hAnsi="Comic Sans MS"/>
        </w:rPr>
      </w:pPr>
    </w:p>
    <w:p w:rsidR="00B626E6" w:rsidRDefault="00B626E6" w:rsidP="00B626E6">
      <w:pPr>
        <w:rPr>
          <w:rFonts w:ascii="Comic Sans MS" w:hAnsi="Comic Sans MS"/>
        </w:rPr>
      </w:pPr>
      <w:r>
        <w:rPr>
          <w:rFonts w:ascii="Comic Sans MS" w:hAnsi="Comic Sans MS"/>
        </w:rPr>
        <w:t>The National Curriculum provides attainment targets for children in each subject. These set out what each child should know, understand and be able to do.</w:t>
      </w:r>
    </w:p>
    <w:p w:rsidR="00B626E6" w:rsidRDefault="00B626E6" w:rsidP="00B626E6">
      <w:pPr>
        <w:rPr>
          <w:rFonts w:ascii="Comic Sans MS" w:hAnsi="Comic Sans MS"/>
        </w:rPr>
      </w:pPr>
    </w:p>
    <w:p w:rsidR="006441E3" w:rsidRPr="006441E3" w:rsidRDefault="00B626E6" w:rsidP="00B626E6">
      <w:pPr>
        <w:rPr>
          <w:rFonts w:ascii="Comic Sans MS" w:hAnsi="Comic Sans MS"/>
        </w:rPr>
      </w:pPr>
      <w:r>
        <w:rPr>
          <w:rFonts w:ascii="Comic Sans MS" w:hAnsi="Comic Sans MS"/>
        </w:rPr>
        <w:t>Children take part in standard assessment tests at the ages of seven and eleven. Parents will be informed of results.</w:t>
      </w:r>
      <w:r w:rsidR="006441E3">
        <w:rPr>
          <w:rFonts w:ascii="Comic Sans MS" w:hAnsi="Comic Sans MS"/>
        </w:rPr>
        <w:t xml:space="preserve"> </w:t>
      </w:r>
      <w:r w:rsidR="006441E3" w:rsidRPr="006441E3">
        <w:rPr>
          <w:rFonts w:ascii="Comic Sans MS" w:hAnsi="Comic Sans MS" w:cs="Calibri"/>
          <w:color w:val="000000"/>
          <w:shd w:val="clear" w:color="auto" w:fill="FFFFFF"/>
        </w:rPr>
        <w:t xml:space="preserve">It is worth noting </w:t>
      </w:r>
      <w:r w:rsidR="006441E3" w:rsidRPr="006441E3">
        <w:rPr>
          <w:rFonts w:ascii="Comic Sans MS" w:hAnsi="Comic Sans MS" w:cs="Calibri"/>
          <w:color w:val="000000"/>
          <w:shd w:val="clear" w:color="auto" w:fill="FFFFFF"/>
        </w:rPr>
        <w:t>we have alw</w:t>
      </w:r>
      <w:r w:rsidR="006441E3">
        <w:rPr>
          <w:rFonts w:ascii="Comic Sans MS" w:hAnsi="Comic Sans MS" w:cs="Calibri"/>
          <w:color w:val="000000"/>
          <w:shd w:val="clear" w:color="auto" w:fill="FFFFFF"/>
        </w:rPr>
        <w:t>ays had above average results, </w:t>
      </w:r>
      <w:r w:rsidR="006441E3" w:rsidRPr="006441E3">
        <w:rPr>
          <w:rFonts w:ascii="Comic Sans MS" w:hAnsi="Comic Sans MS" w:cs="Calibri"/>
          <w:color w:val="000000"/>
          <w:shd w:val="clear" w:color="auto" w:fill="FFFFFF"/>
        </w:rPr>
        <w:t>very high results for the high achievers, great progress for SEN children and some of the highest results in the country over a number of years. </w:t>
      </w:r>
    </w:p>
    <w:p w:rsidR="00B626E6" w:rsidRDefault="00B626E6" w:rsidP="00B626E6">
      <w:pPr>
        <w:pStyle w:val="Heading3"/>
        <w:jc w:val="center"/>
      </w:pPr>
    </w:p>
    <w:p w:rsidR="00B626E6" w:rsidRPr="006441E3" w:rsidRDefault="00B626E6" w:rsidP="00B626E6">
      <w:pPr>
        <w:pStyle w:val="Heading3"/>
        <w:jc w:val="center"/>
        <w:rPr>
          <w:color w:val="000000"/>
          <w:u w:val="single"/>
        </w:rPr>
      </w:pPr>
      <w:r w:rsidRPr="006441E3">
        <w:rPr>
          <w:u w:val="single"/>
        </w:rPr>
        <w:t xml:space="preserve">KEY STAGE 1 – SCHOOL RESULTS </w:t>
      </w:r>
      <w:r w:rsidRPr="006441E3">
        <w:rPr>
          <w:color w:val="000000"/>
          <w:u w:val="single"/>
        </w:rPr>
        <w:t>2019</w:t>
      </w:r>
    </w:p>
    <w:p w:rsidR="00B626E6" w:rsidRPr="00FE66F1" w:rsidRDefault="00B626E6" w:rsidP="00B626E6">
      <w:pPr>
        <w:pStyle w:val="Heading3"/>
        <w:jc w:val="center"/>
      </w:pPr>
    </w:p>
    <w:p w:rsidR="00B626E6" w:rsidRDefault="00B626E6" w:rsidP="00B626E6">
      <w:pPr>
        <w:jc w:val="center"/>
        <w:rPr>
          <w:rFonts w:ascii="Comic Sans MS" w:hAnsi="Comic Sans MS" w:cs="Arial"/>
          <w:b/>
          <w:bCs/>
          <w:u w:val="single"/>
        </w:rPr>
      </w:pPr>
      <w:r w:rsidRPr="006441E3">
        <w:rPr>
          <w:rFonts w:ascii="Comic Sans MS" w:hAnsi="Comic Sans MS" w:cs="Arial"/>
          <w:b/>
          <w:bCs/>
          <w:u w:val="single"/>
        </w:rPr>
        <w:t>COMPARATIVE REPORT</w:t>
      </w:r>
    </w:p>
    <w:p w:rsidR="006441E3" w:rsidRPr="006441E3" w:rsidRDefault="006441E3" w:rsidP="00B626E6">
      <w:pPr>
        <w:jc w:val="center"/>
        <w:rPr>
          <w:rFonts w:ascii="Comic Sans MS" w:hAnsi="Comic Sans MS" w:cs="Arial"/>
          <w:sz w:val="10"/>
          <w:u w:val="single"/>
        </w:rPr>
      </w:pPr>
    </w:p>
    <w:p w:rsidR="00B626E6" w:rsidRPr="00FE66F1" w:rsidRDefault="00B626E6" w:rsidP="00B626E6">
      <w:pPr>
        <w:jc w:val="both"/>
        <w:rPr>
          <w:rFonts w:ascii="Comic Sans MS" w:hAnsi="Comic Sans MS"/>
        </w:rPr>
      </w:pPr>
      <w:r w:rsidRPr="00FE66F1">
        <w:rPr>
          <w:rFonts w:ascii="Comic Sans MS" w:hAnsi="Comic Sans MS"/>
        </w:rPr>
        <w:t>This table shows a summary of the National Curriculum Assessment results of pupils in the school (</w:t>
      </w:r>
      <w:r>
        <w:rPr>
          <w:rFonts w:ascii="Comic Sans MS" w:hAnsi="Comic Sans MS"/>
        </w:rPr>
        <w:t>2019</w:t>
      </w:r>
      <w:r w:rsidRPr="00FE66F1">
        <w:rPr>
          <w:rFonts w:ascii="Comic Sans MS" w:hAnsi="Comic Sans MS"/>
        </w:rPr>
        <w:t>) and nationally (201</w:t>
      </w:r>
      <w:r>
        <w:rPr>
          <w:rFonts w:ascii="Comic Sans MS" w:hAnsi="Comic Sans MS"/>
        </w:rPr>
        <w:t>8</w:t>
      </w:r>
      <w:r w:rsidRPr="00FE66F1">
        <w:rPr>
          <w:rFonts w:ascii="Comic Sans MS" w:hAnsi="Comic Sans MS"/>
        </w:rPr>
        <w:t>) at the end of Key Stage 1, as a percentage of those eligible for assessment.</w:t>
      </w:r>
    </w:p>
    <w:p w:rsidR="00B626E6" w:rsidRPr="00FE66F1" w:rsidRDefault="00B626E6" w:rsidP="00B626E6">
      <w:pPr>
        <w:jc w:val="both"/>
        <w:rPr>
          <w:rFonts w:ascii="Comic Sans MS" w:hAnsi="Comic Sans MS"/>
        </w:rPr>
      </w:pPr>
    </w:p>
    <w:p w:rsidR="00B626E6" w:rsidRDefault="00B626E6" w:rsidP="00B626E6">
      <w:pPr>
        <w:jc w:val="both"/>
        <w:rPr>
          <w:rFonts w:ascii="Comic Sans MS" w:hAnsi="Comic Sans MS"/>
        </w:rPr>
      </w:pPr>
      <w:r w:rsidRPr="00FE66F1">
        <w:rPr>
          <w:rFonts w:ascii="Comic Sans MS" w:hAnsi="Comic Sans MS"/>
        </w:rPr>
        <w:t>The n</w:t>
      </w:r>
      <w:r>
        <w:rPr>
          <w:rFonts w:ascii="Comic Sans MS" w:hAnsi="Comic Sans MS"/>
        </w:rPr>
        <w:t>umber of eligible children is 30</w:t>
      </w:r>
      <w:r w:rsidRPr="00FE66F1">
        <w:rPr>
          <w:rFonts w:ascii="Comic Sans MS" w:hAnsi="Comic Sans MS"/>
        </w:rPr>
        <w:t>. Figures may not total 100 per cent because of rounding.</w:t>
      </w:r>
    </w:p>
    <w:p w:rsidR="00B626E6" w:rsidRDefault="00B626E6" w:rsidP="00B626E6">
      <w:pPr>
        <w:ind w:left="-540"/>
        <w:rPr>
          <w:rFonts w:ascii="Comic Sans MS" w:hAnsi="Comic Sans MS"/>
          <w:color w:val="000000"/>
        </w:rPr>
      </w:pPr>
    </w:p>
    <w:p w:rsidR="00B626E6" w:rsidRDefault="00B626E6" w:rsidP="00B626E6">
      <w:pPr>
        <w:ind w:left="-540"/>
        <w:rPr>
          <w:rFonts w:ascii="Comic Sans MS" w:hAnsi="Comic Sans MS"/>
          <w:color w:val="000000"/>
        </w:rPr>
      </w:pPr>
    </w:p>
    <w:tbl>
      <w:tblPr>
        <w:tblW w:w="9940" w:type="dxa"/>
        <w:tblInd w:w="118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B626E6" w:rsidTr="00067B4E">
        <w:trPr>
          <w:trHeight w:val="36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Reading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26E6" w:rsidTr="00067B4E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Girls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Result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National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626E6" w:rsidTr="00067B4E">
        <w:trPr>
          <w:trHeight w:val="32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B626E6" w:rsidRDefault="00B626E6">
      <w:r>
        <w:br w:type="page"/>
      </w:r>
    </w:p>
    <w:tbl>
      <w:tblPr>
        <w:tblW w:w="9940" w:type="dxa"/>
        <w:tblInd w:w="118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B626E6" w:rsidTr="00067B4E">
        <w:trPr>
          <w:trHeight w:val="36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Writing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26E6" w:rsidTr="00067B4E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Girls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Result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National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626E6" w:rsidTr="00067B4E">
        <w:trPr>
          <w:trHeight w:val="32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B626E6" w:rsidRDefault="00B626E6" w:rsidP="00B626E6">
      <w:pPr>
        <w:ind w:left="-540"/>
        <w:rPr>
          <w:rFonts w:ascii="Comic Sans MS" w:hAnsi="Comic Sans MS"/>
          <w:color w:val="000000"/>
        </w:rPr>
      </w:pPr>
    </w:p>
    <w:tbl>
      <w:tblPr>
        <w:tblW w:w="9940" w:type="dxa"/>
        <w:tblInd w:w="118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245"/>
        <w:gridCol w:w="1595"/>
        <w:gridCol w:w="1420"/>
        <w:gridCol w:w="1420"/>
      </w:tblGrid>
      <w:tr w:rsidR="00B626E6" w:rsidTr="00067B4E">
        <w:trPr>
          <w:trHeight w:val="36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Mathematics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26E6" w:rsidTr="00067B4E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Girls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Result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National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626E6" w:rsidTr="00067B4E">
        <w:trPr>
          <w:trHeight w:val="32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B626E6" w:rsidRDefault="00B626E6" w:rsidP="00B626E6">
      <w:pPr>
        <w:ind w:left="-540"/>
        <w:rPr>
          <w:rFonts w:ascii="Comic Sans MS" w:hAnsi="Comic Sans MS"/>
          <w:color w:val="000000"/>
        </w:rPr>
      </w:pPr>
    </w:p>
    <w:tbl>
      <w:tblPr>
        <w:tblW w:w="9940" w:type="dxa"/>
        <w:tblInd w:w="118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B626E6" w:rsidTr="00067B4E">
        <w:trPr>
          <w:trHeight w:val="36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Science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26E6" w:rsidTr="00067B4E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Girls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Result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National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HNM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B626E6" w:rsidTr="00067B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626E6" w:rsidTr="00067B4E">
        <w:trPr>
          <w:trHeight w:val="32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B626E6" w:rsidRPr="00D95DAA" w:rsidRDefault="00B626E6" w:rsidP="00B626E6">
      <w:pPr>
        <w:ind w:left="-540"/>
        <w:rPr>
          <w:rFonts w:ascii="Comic Sans MS" w:hAnsi="Comic Sans MS"/>
          <w:color w:val="000000"/>
        </w:rPr>
      </w:pP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National figures i</w:t>
      </w:r>
      <w:r w:rsidRPr="00D95DAA">
        <w:rPr>
          <w:rFonts w:ascii="Comic Sans MS" w:hAnsi="Comic Sans MS"/>
          <w:color w:val="000000"/>
        </w:rPr>
        <w:t>ncludes all schools with pupils eligible for assessment at Key Stage 1. Participation by independent schools is voluntary, therefore only includes results from those independent schools which chose to make a return and which met the statutory standard</w:t>
      </w:r>
      <w:r>
        <w:rPr>
          <w:rFonts w:ascii="Comic Sans MS" w:hAnsi="Comic Sans MS"/>
          <w:color w:val="000000"/>
        </w:rPr>
        <w:t>s for assessment and moderation.</w:t>
      </w:r>
    </w:p>
    <w:p w:rsidR="00B626E6" w:rsidRDefault="00B626E6" w:rsidP="00B626E6">
      <w:pPr>
        <w:rPr>
          <w:rFonts w:ascii="Comic Sans MS" w:hAnsi="Comic Sans MS"/>
          <w:color w:val="000000"/>
        </w:rPr>
      </w:pPr>
    </w:p>
    <w:p w:rsidR="00B626E6" w:rsidRDefault="00B626E6" w:rsidP="00B626E6">
      <w:pPr>
        <w:rPr>
          <w:rFonts w:ascii="Comic Sans MS" w:hAnsi="Comic Sans MS"/>
          <w:b/>
          <w:color w:val="000000"/>
        </w:rPr>
      </w:pPr>
    </w:p>
    <w:p w:rsidR="00B626E6" w:rsidRDefault="00B626E6" w:rsidP="00B626E6">
      <w:pPr>
        <w:rPr>
          <w:rFonts w:ascii="Comic Sans MS" w:hAnsi="Comic Sans MS"/>
          <w:b/>
          <w:color w:val="000000"/>
        </w:rPr>
      </w:pPr>
    </w:p>
    <w:p w:rsidR="00B626E6" w:rsidRDefault="00B626E6" w:rsidP="00B626E6">
      <w:pPr>
        <w:rPr>
          <w:rFonts w:ascii="Comic Sans MS" w:hAnsi="Comic Sans MS"/>
          <w:b/>
          <w:color w:val="000000"/>
        </w:rPr>
      </w:pPr>
    </w:p>
    <w:p w:rsidR="00B626E6" w:rsidRDefault="00B626E6" w:rsidP="00B626E6">
      <w:pPr>
        <w:rPr>
          <w:rFonts w:ascii="Comic Sans MS" w:hAnsi="Comic Sans MS"/>
          <w:b/>
          <w:color w:val="000000"/>
        </w:rPr>
      </w:pPr>
    </w:p>
    <w:p w:rsidR="00B626E6" w:rsidRDefault="00B626E6" w:rsidP="00B626E6">
      <w:pPr>
        <w:rPr>
          <w:rFonts w:ascii="Comic Sans MS" w:hAnsi="Comic Sans MS"/>
          <w:b/>
          <w:color w:val="000000"/>
        </w:rPr>
      </w:pPr>
    </w:p>
    <w:p w:rsidR="00B626E6" w:rsidRPr="006441E3" w:rsidRDefault="00B626E6" w:rsidP="00B626E6">
      <w:pPr>
        <w:rPr>
          <w:rFonts w:ascii="Comic Sans MS" w:hAnsi="Comic Sans MS"/>
          <w:b/>
          <w:color w:val="000000"/>
          <w:u w:val="single"/>
        </w:rPr>
      </w:pPr>
      <w:r w:rsidRPr="006441E3">
        <w:rPr>
          <w:rFonts w:ascii="Comic Sans MS" w:hAnsi="Comic Sans MS"/>
          <w:b/>
          <w:color w:val="000000"/>
          <w:u w:val="single"/>
        </w:rPr>
        <w:lastRenderedPageBreak/>
        <w:t>Key to Teacher Assessment Results</w:t>
      </w:r>
    </w:p>
    <w:p w:rsidR="00B626E6" w:rsidRDefault="00B626E6" w:rsidP="00B626E6">
      <w:pPr>
        <w:rPr>
          <w:rFonts w:ascii="Comic Sans MS" w:hAnsi="Comic Sans MS"/>
          <w:b/>
          <w:color w:val="000000"/>
        </w:rPr>
      </w:pP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Note: not all results are valid for all Areas of Learning</w:t>
      </w:r>
    </w:p>
    <w:p w:rsidR="00B626E6" w:rsidRDefault="00B626E6" w:rsidP="00B626E6">
      <w:pPr>
        <w:rPr>
          <w:rFonts w:ascii="Comic Sans MS" w:hAnsi="Comic Sans MS"/>
          <w:color w:val="000000"/>
        </w:rPr>
      </w:pP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GDS is awarded if the pupil is working at greater depth at the expected standard.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EXS is awarded if the pupil is working at the expected standard.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WTS is awarded if the pupil is working towards the expected standard.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HNM is awarded if the pupil has not met the standard expected (Science only).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PK4 is awarded if the pupil is working at a Pre Key Standard 4.*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PK3 is awarded if the pupil is working at a Pre Key Standard 3. *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PK2 is awarded if the pupil is working at a Pre Key Standard 2. *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PK1 is awarded if the pupil is working at a Pre Key Standard 1. *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BLW is awarded if the pupil is below the standard of the tests.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 is awarded if the pupil is absent.</w:t>
      </w:r>
    </w:p>
    <w:p w:rsidR="00B626E6" w:rsidRDefault="00B626E6" w:rsidP="00B626E6">
      <w:r>
        <w:rPr>
          <w:rFonts w:ascii="Comic Sans MS" w:hAnsi="Comic Sans MS"/>
          <w:color w:val="000000"/>
        </w:rPr>
        <w:t xml:space="preserve">D is awarded if the pupil is </w:t>
      </w:r>
      <w:proofErr w:type="spellStart"/>
      <w:r>
        <w:rPr>
          <w:rFonts w:ascii="Comic Sans MS" w:hAnsi="Comic Sans MS"/>
          <w:color w:val="000000"/>
        </w:rPr>
        <w:t>disapplied</w:t>
      </w:r>
      <w:proofErr w:type="spellEnd"/>
      <w:r>
        <w:rPr>
          <w:rFonts w:ascii="Comic Sans MS" w:hAnsi="Comic Sans MS"/>
          <w:color w:val="000000"/>
        </w:rPr>
        <w:t xml:space="preserve"> in Reading, Writing Mathematics or Science</w:t>
      </w:r>
    </w:p>
    <w:p w:rsidR="00B626E6" w:rsidRDefault="00B626E6" w:rsidP="00B626E6"/>
    <w:p w:rsidR="00B626E6" w:rsidRDefault="00B626E6" w:rsidP="00B626E6">
      <w:pPr>
        <w:numPr>
          <w:ilvl w:val="0"/>
          <w:numId w:val="1"/>
        </w:numPr>
      </w:pPr>
      <w:r>
        <w:t xml:space="preserve"> </w:t>
      </w:r>
      <w:r>
        <w:rPr>
          <w:rFonts w:ascii="Comic Sans MS" w:hAnsi="Comic Sans MS"/>
        </w:rPr>
        <w:t>Was formally categorised as either PKF, PKE or PKG</w:t>
      </w:r>
    </w:p>
    <w:p w:rsidR="00B626E6" w:rsidRDefault="00B626E6" w:rsidP="00B626E6"/>
    <w:p w:rsidR="00B626E6" w:rsidRDefault="00B626E6" w:rsidP="00B626E6"/>
    <w:p w:rsidR="00B626E6" w:rsidRDefault="00B626E6" w:rsidP="00B626E6"/>
    <w:p w:rsidR="00B626E6" w:rsidRDefault="00B626E6" w:rsidP="00B626E6">
      <w:r>
        <w:rPr>
          <w:noProof/>
          <w:lang w:eastAsia="en-GB"/>
        </w:rPr>
        <w:drawing>
          <wp:inline distT="0" distB="0" distL="0" distR="0">
            <wp:extent cx="6619875" cy="1657350"/>
            <wp:effectExtent l="0" t="0" r="0" b="0"/>
            <wp:docPr id="1" name="Picture 1" descr="chf-cartoon-kids-wn17r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f-cartoon-kids-wn17r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6E6" w:rsidRDefault="00B626E6" w:rsidP="00B626E6"/>
    <w:p w:rsidR="00B626E6" w:rsidRDefault="00B626E6" w:rsidP="00B626E6"/>
    <w:p w:rsidR="00B626E6" w:rsidRDefault="00B626E6" w:rsidP="00B626E6"/>
    <w:p w:rsidR="00B626E6" w:rsidRDefault="00B626E6" w:rsidP="00B626E6"/>
    <w:p w:rsidR="00B626E6" w:rsidRDefault="00B626E6" w:rsidP="00B626E6"/>
    <w:p w:rsidR="00B626E6" w:rsidRDefault="00B626E6" w:rsidP="00B626E6"/>
    <w:p w:rsidR="00B626E6" w:rsidRDefault="00B626E6" w:rsidP="00B626E6">
      <w:pPr>
        <w:ind w:left="-540"/>
        <w:jc w:val="center"/>
        <w:rPr>
          <w:rFonts w:ascii="Comic Sans MS" w:hAnsi="Comic Sans MS"/>
          <w:b/>
        </w:rPr>
      </w:pPr>
    </w:p>
    <w:p w:rsidR="00B626E6" w:rsidRDefault="00B626E6" w:rsidP="00B626E6">
      <w:pPr>
        <w:ind w:left="-540"/>
        <w:jc w:val="center"/>
        <w:rPr>
          <w:rFonts w:ascii="Comic Sans MS" w:hAnsi="Comic Sans MS"/>
          <w:b/>
        </w:rPr>
      </w:pPr>
    </w:p>
    <w:p w:rsidR="00B626E6" w:rsidRDefault="00B626E6" w:rsidP="00B626E6">
      <w:pPr>
        <w:ind w:left="-540"/>
        <w:jc w:val="center"/>
        <w:rPr>
          <w:rFonts w:ascii="Comic Sans MS" w:hAnsi="Comic Sans MS"/>
          <w:b/>
        </w:rPr>
      </w:pPr>
    </w:p>
    <w:p w:rsidR="00B626E6" w:rsidRDefault="00B626E6" w:rsidP="00B626E6">
      <w:pPr>
        <w:ind w:left="-540"/>
        <w:jc w:val="center"/>
        <w:rPr>
          <w:rFonts w:ascii="Comic Sans MS" w:hAnsi="Comic Sans MS"/>
          <w:b/>
        </w:rPr>
      </w:pPr>
    </w:p>
    <w:p w:rsidR="00B626E6" w:rsidRDefault="00B626E6" w:rsidP="00B626E6">
      <w:pPr>
        <w:ind w:left="-540"/>
        <w:jc w:val="center"/>
        <w:rPr>
          <w:rFonts w:ascii="Comic Sans MS" w:hAnsi="Comic Sans MS"/>
          <w:b/>
        </w:rPr>
      </w:pPr>
    </w:p>
    <w:p w:rsidR="00B626E6" w:rsidRDefault="00B626E6" w:rsidP="00B626E6">
      <w:pPr>
        <w:ind w:left="-540"/>
        <w:jc w:val="center"/>
        <w:rPr>
          <w:rFonts w:ascii="Comic Sans MS" w:hAnsi="Comic Sans MS"/>
          <w:b/>
        </w:rPr>
      </w:pPr>
    </w:p>
    <w:p w:rsidR="00B626E6" w:rsidRDefault="00B626E6" w:rsidP="00B626E6">
      <w:pPr>
        <w:ind w:left="-540"/>
        <w:jc w:val="center"/>
        <w:rPr>
          <w:rFonts w:ascii="Comic Sans MS" w:hAnsi="Comic Sans MS"/>
          <w:b/>
        </w:rPr>
      </w:pPr>
    </w:p>
    <w:p w:rsidR="00B626E6" w:rsidRDefault="00B626E6" w:rsidP="00B626E6">
      <w:pPr>
        <w:ind w:left="-540"/>
        <w:jc w:val="center"/>
        <w:rPr>
          <w:rFonts w:ascii="Comic Sans MS" w:hAnsi="Comic Sans MS"/>
          <w:b/>
        </w:rPr>
      </w:pPr>
    </w:p>
    <w:p w:rsidR="00B626E6" w:rsidRDefault="00B626E6" w:rsidP="00B626E6">
      <w:pPr>
        <w:ind w:left="-540"/>
        <w:jc w:val="center"/>
        <w:rPr>
          <w:rFonts w:ascii="Comic Sans MS" w:hAnsi="Comic Sans MS"/>
          <w:b/>
        </w:rPr>
      </w:pPr>
    </w:p>
    <w:p w:rsidR="00B626E6" w:rsidRDefault="00B626E6" w:rsidP="00B626E6">
      <w:pPr>
        <w:ind w:left="-540"/>
        <w:jc w:val="center"/>
        <w:rPr>
          <w:rFonts w:ascii="Comic Sans MS" w:hAnsi="Comic Sans MS"/>
          <w:b/>
        </w:rPr>
      </w:pPr>
    </w:p>
    <w:p w:rsidR="00B626E6" w:rsidRDefault="00B626E6" w:rsidP="00B626E6">
      <w:pPr>
        <w:ind w:left="-540"/>
        <w:jc w:val="center"/>
        <w:rPr>
          <w:rFonts w:ascii="Comic Sans MS" w:hAnsi="Comic Sans MS"/>
          <w:b/>
        </w:rPr>
      </w:pPr>
    </w:p>
    <w:p w:rsidR="00B626E6" w:rsidRDefault="00B626E6" w:rsidP="00B626E6">
      <w:pPr>
        <w:ind w:left="-540"/>
        <w:jc w:val="center"/>
        <w:rPr>
          <w:rFonts w:ascii="Comic Sans MS" w:hAnsi="Comic Sans MS"/>
          <w:b/>
        </w:rPr>
      </w:pPr>
    </w:p>
    <w:p w:rsidR="00B626E6" w:rsidRDefault="00B626E6" w:rsidP="00B626E6">
      <w:pPr>
        <w:ind w:left="-540"/>
        <w:jc w:val="center"/>
        <w:rPr>
          <w:rFonts w:ascii="Comic Sans MS" w:hAnsi="Comic Sans MS"/>
          <w:b/>
        </w:rPr>
      </w:pPr>
    </w:p>
    <w:p w:rsidR="00B626E6" w:rsidRPr="006441E3" w:rsidRDefault="00B626E6" w:rsidP="00B626E6">
      <w:pPr>
        <w:ind w:left="-540"/>
        <w:jc w:val="center"/>
        <w:rPr>
          <w:rFonts w:ascii="Comic Sans MS" w:hAnsi="Comic Sans MS"/>
          <w:b/>
          <w:u w:val="single"/>
        </w:rPr>
      </w:pPr>
      <w:r w:rsidRPr="006441E3">
        <w:rPr>
          <w:rFonts w:ascii="Comic Sans MS" w:hAnsi="Comic Sans MS"/>
          <w:b/>
          <w:u w:val="single"/>
        </w:rPr>
        <w:lastRenderedPageBreak/>
        <w:t>KEY STAGE 2 – SCHOOL RESULTS 2019</w:t>
      </w:r>
    </w:p>
    <w:p w:rsidR="00B626E6" w:rsidRPr="006441E3" w:rsidRDefault="00B626E6" w:rsidP="00B626E6">
      <w:pPr>
        <w:ind w:left="-540"/>
        <w:jc w:val="center"/>
        <w:rPr>
          <w:rFonts w:ascii="Comic Sans MS" w:hAnsi="Comic Sans MS"/>
          <w:b/>
          <w:u w:val="single"/>
        </w:rPr>
      </w:pPr>
      <w:r w:rsidRPr="006441E3">
        <w:rPr>
          <w:rFonts w:ascii="Comic Sans MS" w:hAnsi="Comic Sans MS"/>
          <w:b/>
          <w:u w:val="single"/>
        </w:rPr>
        <w:t>TEACHER ASSESSMENT AND TEST RESULTS COMPARATIVE REPORT</w:t>
      </w:r>
    </w:p>
    <w:p w:rsidR="00B626E6" w:rsidRPr="00D95DAA" w:rsidRDefault="00B626E6" w:rsidP="00B626E6">
      <w:pPr>
        <w:ind w:left="-540"/>
        <w:jc w:val="center"/>
        <w:rPr>
          <w:rFonts w:ascii="Comic Sans MS" w:hAnsi="Comic Sans MS"/>
          <w:b/>
        </w:rPr>
      </w:pPr>
    </w:p>
    <w:p w:rsidR="00B626E6" w:rsidRDefault="00B626E6" w:rsidP="00B626E6">
      <w:pPr>
        <w:ind w:left="-540"/>
        <w:rPr>
          <w:rFonts w:ascii="Comic Sans MS" w:hAnsi="Comic Sans MS"/>
        </w:rPr>
      </w:pPr>
      <w:r w:rsidRPr="00D95DAA">
        <w:rPr>
          <w:rFonts w:ascii="Comic Sans MS" w:hAnsi="Comic Sans MS"/>
        </w:rPr>
        <w:t xml:space="preserve">This table shows the percentage of Year 6 pupils achieving each </w:t>
      </w:r>
      <w:r>
        <w:rPr>
          <w:rFonts w:ascii="Comic Sans MS" w:hAnsi="Comic Sans MS"/>
        </w:rPr>
        <w:t xml:space="preserve">outcome </w:t>
      </w:r>
      <w:r w:rsidRPr="00D95DAA">
        <w:rPr>
          <w:rFonts w:ascii="Comic Sans MS" w:hAnsi="Comic Sans MS"/>
        </w:rPr>
        <w:t>in 201</w:t>
      </w:r>
      <w:r>
        <w:rPr>
          <w:rFonts w:ascii="Comic Sans MS" w:hAnsi="Comic Sans MS"/>
        </w:rPr>
        <w:t>9</w:t>
      </w:r>
      <w:r w:rsidRPr="00D95DAA">
        <w:rPr>
          <w:rFonts w:ascii="Comic Sans MS" w:hAnsi="Comic Sans MS"/>
        </w:rPr>
        <w:t xml:space="preserve">, compared to national end of Key Stage </w:t>
      </w:r>
      <w:r>
        <w:rPr>
          <w:rFonts w:ascii="Comic Sans MS" w:hAnsi="Comic Sans MS"/>
        </w:rPr>
        <w:t>Teacher Assessment and T</w:t>
      </w:r>
      <w:r w:rsidRPr="00D95DAA">
        <w:rPr>
          <w:rFonts w:ascii="Comic Sans MS" w:hAnsi="Comic Sans MS"/>
        </w:rPr>
        <w:t xml:space="preserve">est </w:t>
      </w:r>
      <w:r>
        <w:rPr>
          <w:rFonts w:ascii="Comic Sans MS" w:hAnsi="Comic Sans MS"/>
        </w:rPr>
        <w:t>R</w:t>
      </w:r>
      <w:r w:rsidRPr="00D95DAA">
        <w:rPr>
          <w:rFonts w:ascii="Comic Sans MS" w:hAnsi="Comic Sans MS"/>
        </w:rPr>
        <w:t>esults for 201</w:t>
      </w:r>
      <w:r>
        <w:rPr>
          <w:rFonts w:ascii="Comic Sans MS" w:hAnsi="Comic Sans MS"/>
        </w:rPr>
        <w:t>8</w:t>
      </w:r>
      <w:r w:rsidRPr="00D95DAA">
        <w:rPr>
          <w:rFonts w:ascii="Comic Sans MS" w:hAnsi="Comic Sans MS"/>
        </w:rPr>
        <w:t xml:space="preserve">. </w:t>
      </w:r>
    </w:p>
    <w:p w:rsidR="00B626E6" w:rsidRPr="00D95DAA" w:rsidRDefault="00B626E6" w:rsidP="00B626E6">
      <w:pPr>
        <w:ind w:left="-540"/>
        <w:rPr>
          <w:rFonts w:ascii="Comic Sans MS" w:hAnsi="Comic Sans MS"/>
        </w:rPr>
      </w:pPr>
    </w:p>
    <w:p w:rsidR="00B626E6" w:rsidRDefault="00B626E6" w:rsidP="00B626E6">
      <w:pPr>
        <w:ind w:left="-5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Pr="00D95DAA">
        <w:rPr>
          <w:rFonts w:ascii="Comic Sans MS" w:hAnsi="Comic Sans MS"/>
        </w:rPr>
        <w:t xml:space="preserve">The number of eligible children is: </w:t>
      </w:r>
      <w:r>
        <w:rPr>
          <w:rFonts w:ascii="Comic Sans MS" w:hAnsi="Comic Sans MS"/>
        </w:rPr>
        <w:t xml:space="preserve">32. </w:t>
      </w:r>
    </w:p>
    <w:p w:rsidR="00B626E6" w:rsidRDefault="00B626E6" w:rsidP="00B626E6">
      <w:pPr>
        <w:ind w:left="-5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Pr="00D95DAA">
        <w:rPr>
          <w:rFonts w:ascii="Comic Sans MS" w:hAnsi="Comic Sans MS"/>
        </w:rPr>
        <w:t>Figures may not total 100 per cent because of rounding.</w:t>
      </w:r>
    </w:p>
    <w:p w:rsidR="00B626E6" w:rsidRDefault="00B626E6" w:rsidP="00B626E6">
      <w:pPr>
        <w:ind w:left="-540"/>
        <w:rPr>
          <w:rFonts w:ascii="Comic Sans MS" w:hAnsi="Comic Sans MS"/>
        </w:rPr>
      </w:pPr>
    </w:p>
    <w:tbl>
      <w:tblPr>
        <w:tblW w:w="8593" w:type="dxa"/>
        <w:tblInd w:w="108" w:type="dxa"/>
        <w:tblLook w:val="04A0" w:firstRow="1" w:lastRow="0" w:firstColumn="1" w:lastColumn="0" w:noHBand="0" w:noVBand="1"/>
      </w:tblPr>
      <w:tblGrid>
        <w:gridCol w:w="1840"/>
        <w:gridCol w:w="1530"/>
        <w:gridCol w:w="2840"/>
        <w:gridCol w:w="963"/>
        <w:gridCol w:w="1420"/>
      </w:tblGrid>
      <w:tr w:rsidR="00B626E6" w:rsidTr="00067B4E">
        <w:trPr>
          <w:trHeight w:val="31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Teacher Assessments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Reading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Writing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Result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National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National 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WTS/HNM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BLW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626E6" w:rsidTr="00067B4E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626E6" w:rsidTr="00067B4E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sz w:val="20"/>
                <w:szCs w:val="20"/>
              </w:rPr>
            </w:pPr>
          </w:p>
        </w:tc>
      </w:tr>
      <w:tr w:rsidR="00B626E6" w:rsidTr="00067B4E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sz w:val="20"/>
                <w:szCs w:val="20"/>
              </w:rPr>
            </w:pPr>
          </w:p>
        </w:tc>
      </w:tr>
      <w:tr w:rsidR="00B626E6" w:rsidTr="00067B4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sz w:val="20"/>
                <w:szCs w:val="20"/>
              </w:rPr>
            </w:pP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Teacher Assessments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Mathematics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Science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Result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National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National 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WTS/HNM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PK1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BLW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</w:tr>
      <w:tr w:rsidR="00B626E6" w:rsidTr="00067B4E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626E6" w:rsidTr="00067B4E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B626E6" w:rsidRDefault="00B626E6" w:rsidP="00B626E6">
      <w:pPr>
        <w:ind w:left="-540"/>
        <w:rPr>
          <w:rFonts w:ascii="Comic Sans MS" w:hAnsi="Comic Sans MS"/>
        </w:rPr>
      </w:pPr>
    </w:p>
    <w:p w:rsidR="00B626E6" w:rsidRDefault="00B626E6" w:rsidP="00B626E6">
      <w:pPr>
        <w:ind w:left="-540"/>
        <w:rPr>
          <w:rFonts w:ascii="Comic Sans MS" w:hAnsi="Comic Sans MS"/>
        </w:rPr>
      </w:pPr>
    </w:p>
    <w:p w:rsidR="00B626E6" w:rsidRDefault="00B626E6" w:rsidP="00B626E6">
      <w:pPr>
        <w:ind w:left="-540"/>
        <w:rPr>
          <w:rFonts w:ascii="Comic Sans MS" w:hAnsi="Comic Sans MS"/>
        </w:rPr>
      </w:pPr>
    </w:p>
    <w:p w:rsidR="00B626E6" w:rsidRDefault="00B626E6" w:rsidP="00B626E6">
      <w:pPr>
        <w:ind w:left="-540"/>
        <w:rPr>
          <w:rFonts w:ascii="Comic Sans MS" w:hAnsi="Comic Sans MS"/>
        </w:rPr>
      </w:pPr>
    </w:p>
    <w:p w:rsidR="00B626E6" w:rsidRDefault="00B626E6" w:rsidP="00B626E6">
      <w:pPr>
        <w:ind w:left="-540"/>
        <w:rPr>
          <w:rFonts w:ascii="Comic Sans MS" w:hAnsi="Comic Sans MS"/>
        </w:rPr>
      </w:pPr>
    </w:p>
    <w:tbl>
      <w:tblPr>
        <w:tblW w:w="9580" w:type="dxa"/>
        <w:tblInd w:w="108" w:type="dxa"/>
        <w:tblLook w:val="04A0" w:firstRow="1" w:lastRow="0" w:firstColumn="1" w:lastColumn="0" w:noHBand="0" w:noVBand="1"/>
      </w:tblPr>
      <w:tblGrid>
        <w:gridCol w:w="1494"/>
        <w:gridCol w:w="1047"/>
        <w:gridCol w:w="939"/>
        <w:gridCol w:w="2067"/>
        <w:gridCol w:w="1108"/>
        <w:gridCol w:w="1138"/>
        <w:gridCol w:w="667"/>
        <w:gridCol w:w="939"/>
        <w:gridCol w:w="939"/>
      </w:tblGrid>
      <w:tr w:rsidR="00B626E6" w:rsidTr="00067B4E">
        <w:trPr>
          <w:trHeight w:val="312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97B71" w:rsidP="00067B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</w:t>
            </w:r>
            <w:r w:rsidR="00394930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B626E6">
              <w:rPr>
                <w:rFonts w:ascii="Calibri" w:hAnsi="Calibri"/>
                <w:b/>
                <w:bCs/>
                <w:color w:val="000000"/>
              </w:rPr>
              <w:t>TEST RESULTS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26E6" w:rsidTr="00067B4E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Percentage at outcome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26E6" w:rsidTr="00067B4E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626E6" w:rsidTr="00067B4E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Achieved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Achieved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Exceeded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B626E6" w:rsidTr="00067B4E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Standard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Standard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Standard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626E6" w:rsidTr="00067B4E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626E6" w:rsidTr="00067B4E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Punctuation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626E6" w:rsidTr="00067B4E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&amp; Spelling*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626E6" w:rsidTr="00067B4E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626E6" w:rsidTr="00067B4E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626E6" w:rsidTr="00067B4E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Mathematics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626E6" w:rsidTr="00067B4E">
        <w:trPr>
          <w:trHeight w:val="37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26E6" w:rsidRDefault="00B626E6" w:rsidP="00067B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B626E6" w:rsidRDefault="00B626E6" w:rsidP="00B626E6">
      <w:pPr>
        <w:ind w:left="-54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626E6" w:rsidRDefault="00B626E6" w:rsidP="00B626E6">
      <w:pPr>
        <w:ind w:left="-540"/>
        <w:rPr>
          <w:rFonts w:ascii="Comic Sans MS" w:hAnsi="Comic Sans MS"/>
        </w:rPr>
      </w:pPr>
      <w:r>
        <w:rPr>
          <w:rFonts w:ascii="Comic Sans MS" w:hAnsi="Comic Sans MS"/>
        </w:rPr>
        <w:tab/>
        <w:t>National figures include all schools with pupils eligible for assessment at Key Stage 2.</w:t>
      </w:r>
    </w:p>
    <w:p w:rsidR="00B626E6" w:rsidRDefault="00B626E6" w:rsidP="00B626E6">
      <w:pPr>
        <w:ind w:left="-540"/>
        <w:rPr>
          <w:rFonts w:ascii="Comic Sans MS" w:hAnsi="Comic Sans MS"/>
        </w:rPr>
      </w:pPr>
      <w:r>
        <w:rPr>
          <w:rFonts w:ascii="Comic Sans MS" w:hAnsi="Comic Sans MS"/>
        </w:rPr>
        <w:tab/>
        <w:t>Participation by independent schools is voluntary, therefore only includes results from those</w:t>
      </w:r>
    </w:p>
    <w:p w:rsidR="00B626E6" w:rsidRDefault="00B626E6" w:rsidP="00B626E6">
      <w:pPr>
        <w:ind w:left="-5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Independent schools which choose to make a return, and which met the statutory standards </w:t>
      </w:r>
    </w:p>
    <w:p w:rsidR="00B626E6" w:rsidRDefault="00B626E6" w:rsidP="00B626E6">
      <w:pPr>
        <w:ind w:left="-54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assessment and moderation.</w:t>
      </w:r>
    </w:p>
    <w:p w:rsidR="00B626E6" w:rsidRDefault="00B626E6" w:rsidP="00B626E6">
      <w:pPr>
        <w:ind w:left="-540"/>
        <w:rPr>
          <w:rFonts w:ascii="Comic Sans MS" w:hAnsi="Comic Sans MS"/>
        </w:rPr>
      </w:pPr>
    </w:p>
    <w:p w:rsidR="00B626E6" w:rsidRPr="006441E3" w:rsidRDefault="00B626E6" w:rsidP="00B626E6">
      <w:pPr>
        <w:rPr>
          <w:rFonts w:ascii="Comic Sans MS" w:hAnsi="Comic Sans MS"/>
          <w:b/>
          <w:u w:val="single"/>
        </w:rPr>
      </w:pPr>
      <w:r w:rsidRPr="006441E3">
        <w:rPr>
          <w:rFonts w:ascii="Comic Sans MS" w:hAnsi="Comic Sans MS"/>
          <w:b/>
          <w:u w:val="single"/>
        </w:rPr>
        <w:t>Key to Teacher Assessment Results</w:t>
      </w:r>
    </w:p>
    <w:p w:rsidR="00B626E6" w:rsidRPr="00F23406" w:rsidRDefault="00B626E6" w:rsidP="00B626E6">
      <w:pPr>
        <w:rPr>
          <w:rFonts w:ascii="Comic Sans MS" w:hAnsi="Comic Sans MS"/>
          <w:b/>
        </w:rPr>
      </w:pP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GDS is awarded if the pupil is working at greater depth at the expected standard.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EXS is awarded if the pupil is working at the expected standard.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WTS is awarded if the pupil is working towards the expected standard.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HNM is awarded if the pupil has not met the standard expected (Science only).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PK6 is awarded if the pupil is working at a Pre Key Standard 6.*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PK5 is awarded if the pupil is working at a Pre Key Standard 5.*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PK4 is awarded if the pupil is working at a Pre Key Standard 4.*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PK3 is awarded if the pupil is working at a Pre Key Standard 3. *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PK2 is awarded if the pupil is working at a Pre Key Standard 2. *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PK1 is awarded if the pupil is working at a Pre Key Standard 1. *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BLW is awarded if the pupil is below the standard of the tests.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 is awarded if the pupil is working below the level of the test.</w:t>
      </w:r>
      <w:bookmarkStart w:id="0" w:name="_GoBack"/>
      <w:bookmarkEnd w:id="0"/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 is awarded if the pupil is unable to access the test.</w:t>
      </w:r>
    </w:p>
    <w:p w:rsidR="00B626E6" w:rsidRDefault="00B626E6" w:rsidP="00B626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 is awarded if the pupil is absent.</w:t>
      </w:r>
    </w:p>
    <w:p w:rsidR="00B626E6" w:rsidRDefault="00B626E6" w:rsidP="00B626E6">
      <w:r>
        <w:rPr>
          <w:rFonts w:ascii="Comic Sans MS" w:hAnsi="Comic Sans MS"/>
          <w:color w:val="000000"/>
        </w:rPr>
        <w:t xml:space="preserve">D is awarded if the pupil is </w:t>
      </w:r>
      <w:proofErr w:type="spellStart"/>
      <w:r>
        <w:rPr>
          <w:rFonts w:ascii="Comic Sans MS" w:hAnsi="Comic Sans MS"/>
          <w:color w:val="000000"/>
        </w:rPr>
        <w:t>disapplied</w:t>
      </w:r>
      <w:proofErr w:type="spellEnd"/>
      <w:r>
        <w:rPr>
          <w:rFonts w:ascii="Comic Sans MS" w:hAnsi="Comic Sans MS"/>
          <w:color w:val="000000"/>
        </w:rPr>
        <w:t xml:space="preserve"> in Reading, Writing Mathematics or Science</w:t>
      </w:r>
    </w:p>
    <w:p w:rsidR="00B626E6" w:rsidRDefault="00B626E6" w:rsidP="00B626E6"/>
    <w:p w:rsidR="00B626E6" w:rsidRDefault="00B626E6" w:rsidP="00B626E6">
      <w:pPr>
        <w:numPr>
          <w:ilvl w:val="0"/>
          <w:numId w:val="1"/>
        </w:numPr>
      </w:pPr>
      <w:r>
        <w:t xml:space="preserve"> </w:t>
      </w:r>
      <w:r>
        <w:rPr>
          <w:rFonts w:ascii="Comic Sans MS" w:hAnsi="Comic Sans MS"/>
        </w:rPr>
        <w:t>Was formally categorised as either PKF, PKE or PKG</w:t>
      </w:r>
    </w:p>
    <w:p w:rsidR="00222070" w:rsidRDefault="00222070"/>
    <w:sectPr w:rsidR="00222070" w:rsidSect="00B62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13B0"/>
    <w:multiLevelType w:val="hybridMultilevel"/>
    <w:tmpl w:val="070233EC"/>
    <w:lvl w:ilvl="0" w:tplc="967466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E6"/>
    <w:rsid w:val="00222070"/>
    <w:rsid w:val="00394930"/>
    <w:rsid w:val="006441E3"/>
    <w:rsid w:val="00B626E6"/>
    <w:rsid w:val="00B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B4E7"/>
  <w15:chartTrackingRefBased/>
  <w15:docId w15:val="{00140704-2A21-44DA-BB36-F6670D9E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626E6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link w:val="Heading3Char"/>
    <w:qFormat/>
    <w:rsid w:val="00B626E6"/>
    <w:pPr>
      <w:keepNext/>
      <w:ind w:left="-540"/>
      <w:outlineLvl w:val="2"/>
    </w:pPr>
    <w:rPr>
      <w:rFonts w:ascii="Comic Sans MS" w:hAnsi="Comic Sans MS"/>
      <w:b/>
      <w:bCs/>
    </w:rPr>
  </w:style>
  <w:style w:type="paragraph" w:styleId="Heading8">
    <w:name w:val="heading 8"/>
    <w:basedOn w:val="Normal"/>
    <w:next w:val="Normal"/>
    <w:link w:val="Heading8Char"/>
    <w:qFormat/>
    <w:rsid w:val="00B626E6"/>
    <w:pPr>
      <w:keepNext/>
      <w:outlineLvl w:val="7"/>
    </w:pPr>
    <w:rPr>
      <w:rFonts w:ascii="Comic Sans MS" w:hAnsi="Comic Sans MS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6E6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626E6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626E6"/>
    <w:rPr>
      <w:rFonts w:ascii="Comic Sans MS" w:eastAsia="Times New Roman" w:hAnsi="Comic Sans MS" w:cs="Times New Roman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Vicky</dc:creator>
  <cp:keywords/>
  <dc:description/>
  <cp:lastModifiedBy>Porter, Vicky</cp:lastModifiedBy>
  <cp:revision>4</cp:revision>
  <dcterms:created xsi:type="dcterms:W3CDTF">2021-04-23T09:34:00Z</dcterms:created>
  <dcterms:modified xsi:type="dcterms:W3CDTF">2021-04-23T10:49:00Z</dcterms:modified>
</cp:coreProperties>
</file>